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60" w:line="240" w:lineRule="auto"/>
        <w:jc w:val="center"/>
        <w:rPr>
          <w:b w:val="1"/>
          <w:bCs w:val="1"/>
          <w:smallCaps w:val="1"/>
          <w:sz w:val="24"/>
          <w:szCs w:val="24"/>
          <w:u w:val="single"/>
        </w:rPr>
      </w:pPr>
      <w:r w:rsidDel="00000000" w:rsidR="00000000" w:rsidRPr="00000000">
        <w:rPr>
          <w:b w:val="1"/>
          <w:bCs w:val="1"/>
          <w:sz w:val="28"/>
          <w:szCs w:val="28"/>
          <w:u w:val="single"/>
          <w:rtl w:val="0"/>
        </w:rPr>
        <w:t xml:space="preserve">Standard č. 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spacing w:line="240" w:lineRule="auto"/>
        <w:jc w:val="center"/>
        <w:rPr>
          <w:rFonts w:ascii="Calibri" w:cs="Calibri" w:eastAsia="Calibri" w:hAnsi="Calibri"/>
          <w:b w:val="1"/>
          <w:bCs w:val="1"/>
          <w:smallCaps w:val="1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mallCaps w:val="1"/>
          <w:sz w:val="28"/>
          <w:szCs w:val="28"/>
          <w:u w:val="single"/>
          <w:rtl w:val="0"/>
        </w:rPr>
        <w:t xml:space="preserve">PRAVIDLA PRO PODÁVÁNÍ STÍŽNOSTÍ NA POSKYTOVÁNÍ SOCIÁLNÍ SLUŽBY </w:t>
      </w:r>
    </w:p>
    <w:p w:rsidR="00000000" w:rsidDel="00000000" w:rsidP="00000000" w:rsidRDefault="00000000" w:rsidRPr="00000000" w14:paraId="00000003">
      <w:pPr>
        <w:spacing w:after="160" w:line="240" w:lineRule="auto"/>
        <w:jc w:val="center"/>
        <w:rPr>
          <w:b w:val="1"/>
          <w:bCs w:val="1"/>
          <w:smallCaps w:val="1"/>
          <w:sz w:val="28"/>
          <w:szCs w:val="28"/>
          <w:u w:val="single"/>
        </w:rPr>
      </w:pPr>
      <w:r w:rsidDel="00000000" w:rsidR="00000000" w:rsidRPr="00000000">
        <w:rPr>
          <w:b w:val="1"/>
          <w:bCs w:val="1"/>
          <w:sz w:val="28"/>
          <w:szCs w:val="28"/>
          <w:u w:val="single"/>
          <w:rtl w:val="0"/>
        </w:rPr>
        <w:t xml:space="preserve">pro Denní stacionář ZET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spacing w:line="240" w:lineRule="auto"/>
        <w:jc w:val="center"/>
        <w:rPr>
          <w:rFonts w:ascii="Calibri" w:cs="Calibri" w:eastAsia="Calibri" w:hAnsi="Calibri"/>
          <w:b w:val="1"/>
          <w:bCs w:val="1"/>
          <w:sz w:val="24"/>
          <w:szCs w:val="24"/>
          <w:shd w:fill="ff9900" w:val="clear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(dále jen „Pravidla pro stížnosti“)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spacing w:line="240" w:lineRule="auto"/>
        <w:jc w:val="center"/>
        <w:rPr>
          <w:b w:val="1"/>
          <w:bCs w:val="1"/>
          <w:sz w:val="24"/>
          <w:szCs w:val="24"/>
          <w:shd w:fill="ff9900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V rámci poskytování sociální služby rozlišujeme podávání podnětů či připomínek a stížností.</w:t>
      </w:r>
    </w:p>
    <w:p w:rsidR="00000000" w:rsidDel="00000000" w:rsidP="00000000" w:rsidRDefault="00000000" w:rsidRPr="00000000" w14:paraId="00000007">
      <w:pPr>
        <w:pageBreakBefore w:val="0"/>
        <w:spacing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u w:val="single"/>
          <w:rtl w:val="0"/>
        </w:rPr>
        <w:t xml:space="preserve">Podnětem či připomínkou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 se rozumí připomínka klienta (nebo jiné osoby) ke zlepšení kvality služeb. Podstatou podnětu či připomínky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není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 žádost o prošetření, porušení práv klienta a povinnosti poskytovatele, ale spíše návrh na zlepšení služby.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Podnět se zapisuje do elektronickému systému e-Quip pracovník</w:t>
      </w:r>
      <w:r w:rsidDel="00000000" w:rsidR="00000000" w:rsidRPr="00000000">
        <w:rPr>
          <w:sz w:val="24"/>
          <w:szCs w:val="24"/>
          <w:rtl w:val="0"/>
        </w:rPr>
        <w:t xml:space="preserve">em, který podnět obdržel nebo inicioval a vedoucí služby dále pracuje s návrhy změn, kterých se podnět týkal.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• 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Stížností</w:t>
      </w:r>
      <w:r w:rsidDel="00000000" w:rsidR="00000000" w:rsidRPr="00000000">
        <w:rPr>
          <w:sz w:val="24"/>
          <w:szCs w:val="24"/>
          <w:rtl w:val="0"/>
        </w:rPr>
        <w:t xml:space="preserve"> se rozumí projev nespokojenosti klienta nebo jiné níže uvedené osoby se službou Denní stacionář ZET (dále jen „stacionář“). Jedná se o podání, v němž dotyčná osoba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žádá o prošetření</w:t>
      </w:r>
      <w:r w:rsidDel="00000000" w:rsidR="00000000" w:rsidRPr="00000000">
        <w:rPr>
          <w:sz w:val="24"/>
          <w:szCs w:val="24"/>
          <w:rtl w:val="0"/>
        </w:rPr>
        <w:t xml:space="preserve"> a následné vyjádření či nápravu záležitosti, která ho poškodila.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Kdo stížnost může podat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rPr>
          <w:sz w:val="24"/>
          <w:szCs w:val="24"/>
          <w:highlight w:val="yellow"/>
        </w:rPr>
      </w:pPr>
      <w:r w:rsidDel="00000000" w:rsidR="00000000" w:rsidRPr="00000000">
        <w:rPr>
          <w:sz w:val="24"/>
          <w:szCs w:val="24"/>
          <w:rtl w:val="0"/>
        </w:rPr>
        <w:t xml:space="preserve">Klienti a další osoby uvedené v § 99a odst. 1 zákona o sociálních službách mají právo stěžovat si na poskytované sociální služby.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0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Stěžovatelem podle § 99a odst. 1 písm. a) – f) zákona může být:</w:t>
      </w:r>
    </w:p>
    <w:p w:rsidR="00000000" w:rsidDel="00000000" w:rsidP="00000000" w:rsidRDefault="00000000" w:rsidRPr="00000000" w14:paraId="0000000D">
      <w:pPr>
        <w:spacing w:line="240" w:lineRule="auto"/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a)</w:t>
      </w:r>
      <w:r w:rsidDel="00000000" w:rsidR="00000000" w:rsidRPr="00000000">
        <w:rPr>
          <w:sz w:val="24"/>
          <w:szCs w:val="24"/>
          <w:rtl w:val="0"/>
        </w:rPr>
        <w:t xml:space="preserve"> osoba, které je nebo byla poskytována sociální služba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b) zákonný zástupce, opatrovník nebo podpůrce osoby, které je nebo byla poskytována sociální služba</w:t>
      </w:r>
    </w:p>
    <w:p w:rsidR="00000000" w:rsidDel="00000000" w:rsidP="00000000" w:rsidRDefault="00000000" w:rsidRPr="00000000" w14:paraId="0000000F">
      <w:pPr>
        <w:spacing w:line="240" w:lineRule="auto"/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c) osoba blízká, nemůže-li stížnost podat osoba, které je nebo byla sociální služba poskytována, s ohledem na svůj zdravotní stav nebo proto, že zemřela</w:t>
      </w:r>
    </w:p>
    <w:p w:rsidR="00000000" w:rsidDel="00000000" w:rsidP="00000000" w:rsidRDefault="00000000" w:rsidRPr="00000000" w14:paraId="00000010">
      <w:pPr>
        <w:spacing w:line="240" w:lineRule="auto"/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d) osoba zmocněná osobou, které je nebo byla poskytována sociální služba – stěžovatel doloží zmocnění klienta prostřednictvím plné moci, která může obsahovat i rozsah zmocnění. Plná moc nemusí být ověřená.</w:t>
      </w:r>
    </w:p>
    <w:p w:rsidR="00000000" w:rsidDel="00000000" w:rsidP="00000000" w:rsidRDefault="00000000" w:rsidRPr="00000000" w14:paraId="00000011">
      <w:pPr>
        <w:spacing w:line="240" w:lineRule="auto"/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e) člen domácnosti osoby, které je nebo byla poskytována sociální služba, oprávněný k zastupování této osoby podle občanského zákoníku </w:t>
      </w:r>
    </w:p>
    <w:p w:rsidR="00000000" w:rsidDel="00000000" w:rsidP="00000000" w:rsidRDefault="00000000" w:rsidRPr="00000000" w14:paraId="00000012">
      <w:pPr>
        <w:spacing w:line="240" w:lineRule="auto"/>
        <w:ind w:lef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f) zaměstnanec poskytovatele sociálních služeb.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226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spacing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Klient je informován o Pravidlech pro stížnosti těmito způsoby: </w:t>
      </w:r>
    </w:p>
    <w:p w:rsidR="00000000" w:rsidDel="00000000" w:rsidP="00000000" w:rsidRDefault="00000000" w:rsidRPr="00000000" w14:paraId="00000015">
      <w:pPr>
        <w:pageBreakBefore w:val="0"/>
        <w:numPr>
          <w:ilvl w:val="0"/>
          <w:numId w:val="4"/>
        </w:numPr>
        <w:spacing w:after="0" w:line="240" w:lineRule="auto"/>
        <w:ind w:left="991" w:hanging="283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Sociálním pracovníkem v průběhu procesu uzavírání smlouvy.</w:t>
      </w:r>
    </w:p>
    <w:p w:rsidR="00000000" w:rsidDel="00000000" w:rsidP="00000000" w:rsidRDefault="00000000" w:rsidRPr="00000000" w14:paraId="00000016">
      <w:pPr>
        <w:pageBreakBefore w:val="0"/>
        <w:numPr>
          <w:ilvl w:val="0"/>
          <w:numId w:val="4"/>
        </w:numPr>
        <w:spacing w:after="0" w:line="240" w:lineRule="auto"/>
        <w:ind w:left="991" w:hanging="283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Při hodnocení poskytované služby </w:t>
      </w:r>
      <w:r w:rsidDel="00000000" w:rsidR="00000000" w:rsidRPr="00000000">
        <w:rPr>
          <w:sz w:val="24"/>
          <w:szCs w:val="24"/>
          <w:rtl w:val="0"/>
        </w:rPr>
        <w:t xml:space="preserve">DS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vedoucím služby.</w:t>
      </w:r>
    </w:p>
    <w:p w:rsidR="00000000" w:rsidDel="00000000" w:rsidP="00000000" w:rsidRDefault="00000000" w:rsidRPr="00000000" w14:paraId="00000017">
      <w:pPr>
        <w:pageBreakBefore w:val="0"/>
        <w:numPr>
          <w:ilvl w:val="0"/>
          <w:numId w:val="4"/>
        </w:numPr>
        <w:spacing w:after="0" w:line="240" w:lineRule="auto"/>
        <w:ind w:left="991" w:hanging="283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Při aktualizaci Pravidel pro stížnosti.</w:t>
      </w:r>
    </w:p>
    <w:p w:rsidR="00000000" w:rsidDel="00000000" w:rsidP="00000000" w:rsidRDefault="00000000" w:rsidRPr="00000000" w14:paraId="00000018">
      <w:pPr>
        <w:pageBreakBefore w:val="0"/>
        <w:numPr>
          <w:ilvl w:val="0"/>
          <w:numId w:val="4"/>
        </w:numPr>
        <w:spacing w:after="0" w:line="240" w:lineRule="auto"/>
        <w:ind w:left="991" w:hanging="283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Pravidla pro stížnosti jsou k dispozici na webových stránkách spolku www.zet-my.cz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spacing w:after="0"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spacing w:after="0"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Forma stížnosti</w:t>
      </w:r>
    </w:p>
    <w:p w:rsidR="00000000" w:rsidDel="00000000" w:rsidP="00000000" w:rsidRDefault="00000000" w:rsidRPr="00000000" w14:paraId="0000001B">
      <w:pPr>
        <w:pageBreakBefore w:val="0"/>
        <w:spacing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Stížnosti lze podat ústně, písemně, telefonicky, elektronicky</w:t>
      </w:r>
      <w:r w:rsidDel="00000000" w:rsidR="00000000" w:rsidRPr="00000000">
        <w:rPr>
          <w:sz w:val="24"/>
          <w:szCs w:val="24"/>
          <w:rtl w:val="0"/>
        </w:rPr>
        <w:t xml:space="preserve"> a to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do 1 roku</w:t>
      </w:r>
      <w:r w:rsidDel="00000000" w:rsidR="00000000" w:rsidRPr="00000000">
        <w:rPr>
          <w:sz w:val="24"/>
          <w:szCs w:val="24"/>
          <w:rtl w:val="0"/>
        </w:rPr>
        <w:t xml:space="preserve"> ode dne kdy nastala skutečnost, která je předmětem dané stížnosti.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spacing w:line="240" w:lineRule="auto"/>
        <w:jc w:val="both"/>
        <w:rPr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Ústně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podan</w:t>
      </w:r>
      <w:r w:rsidDel="00000000" w:rsidR="00000000" w:rsidRPr="00000000">
        <w:rPr>
          <w:sz w:val="24"/>
          <w:szCs w:val="24"/>
          <w:rtl w:val="0"/>
        </w:rPr>
        <w:t xml:space="preserve">ou stížnost, dotyčná osoba neprodleně nebo nejpozději do dalšího pracovního dne předá vedoucí služby DS nebo jí nadřízenému pracovníkovi, který ji písemně eviduje a postupuje v dalším řešení.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spacing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Písemné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podání - přeje-li si klient podat stížnost písemně, ale nemá tuto dovednost, příjemce je povinen pomoci mu na požádání stížnost sepsat. Pokud klient nebo jiná osoba předloží či zašle písemnou stížnost, je přiložena k formuláři „Zápis o převzetí stížnosti“ jako jeho nedílná součást.</w:t>
      </w:r>
    </w:p>
    <w:p w:rsidR="00000000" w:rsidDel="00000000" w:rsidP="00000000" w:rsidRDefault="00000000" w:rsidRPr="00000000" w14:paraId="0000001E">
      <w:pPr>
        <w:pageBreakBefore w:val="0"/>
        <w:numPr>
          <w:ilvl w:val="0"/>
          <w:numId w:val="7"/>
        </w:numPr>
        <w:spacing w:after="0" w:line="240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Elektronické podání je vytištěno a přiloženo k formuláři „Zápis o převzetí stížnosti“ jako jeho nedílná součást.</w:t>
      </w:r>
    </w:p>
    <w:p w:rsidR="00000000" w:rsidDel="00000000" w:rsidP="00000000" w:rsidRDefault="00000000" w:rsidRPr="00000000" w14:paraId="0000001F">
      <w:pPr>
        <w:pageBreakBefore w:val="0"/>
        <w:numPr>
          <w:ilvl w:val="0"/>
          <w:numId w:val="7"/>
        </w:numPr>
        <w:spacing w:after="0" w:line="240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Telefonické a ústní podání je zapsáno do formuláře „Zápis o převzetí stížnosti“.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spacing w:after="0"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Kompetence řešitele stížnosti </w:t>
      </w:r>
    </w:p>
    <w:p w:rsidR="00000000" w:rsidDel="00000000" w:rsidP="00000000" w:rsidRDefault="00000000" w:rsidRPr="00000000" w14:paraId="00000022">
      <w:pPr>
        <w:pageBreakBefore w:val="0"/>
        <w:spacing w:after="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Kompetence k prošetření a řešení stížností má 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vedoucí služby DS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kter</w:t>
      </w:r>
      <w:r w:rsidDel="00000000" w:rsidR="00000000" w:rsidRPr="00000000">
        <w:rPr>
          <w:sz w:val="24"/>
          <w:szCs w:val="24"/>
          <w:rtl w:val="0"/>
        </w:rPr>
        <w:t xml:space="preserve">á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může v odůvodněných případech stížnost dále postoupit předsedkyni spolku.</w:t>
      </w:r>
    </w:p>
    <w:p w:rsidR="00000000" w:rsidDel="00000000" w:rsidP="00000000" w:rsidRDefault="00000000" w:rsidRPr="00000000" w14:paraId="00000023">
      <w:pPr>
        <w:pageBreakBefore w:val="0"/>
        <w:spacing w:after="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V případě stížností na </w:t>
      </w:r>
      <w:r w:rsidDel="00000000" w:rsidR="00000000" w:rsidRPr="00000000">
        <w:rPr>
          <w:sz w:val="24"/>
          <w:szCs w:val="24"/>
          <w:rtl w:val="0"/>
        </w:rPr>
        <w:t xml:space="preserve">vedoucí služby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je kompetentní k prošetření a řešení stížnosti předsedkyně spolku. </w:t>
      </w:r>
    </w:p>
    <w:p w:rsidR="00000000" w:rsidDel="00000000" w:rsidP="00000000" w:rsidRDefault="00000000" w:rsidRPr="00000000" w14:paraId="00000024">
      <w:pPr>
        <w:pageBreakBefore w:val="0"/>
        <w:spacing w:after="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Předsedkyně může kompetencí k prověření a řešení stížnosti pověřit někoho z pracovníků. </w:t>
      </w:r>
    </w:p>
    <w:p w:rsidR="00000000" w:rsidDel="00000000" w:rsidP="00000000" w:rsidRDefault="00000000" w:rsidRPr="00000000" w14:paraId="00000025">
      <w:pPr>
        <w:pageBreakBefore w:val="0"/>
        <w:spacing w:after="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Stížnost, která směřuje proti předsedkyni organizace, vyřizuje Sněm spolku. </w:t>
      </w:r>
    </w:p>
    <w:p w:rsidR="00000000" w:rsidDel="00000000" w:rsidP="00000000" w:rsidRDefault="00000000" w:rsidRPr="00000000" w14:paraId="00000026">
      <w:pPr>
        <w:pageBreakBefore w:val="0"/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ageBreakBefore w:val="0"/>
        <w:spacing w:after="0"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Anonymní stížnost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ageBreakBefore w:val="0"/>
        <w:spacing w:after="0" w:line="240" w:lineRule="auto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Stížnost může být podána anonymně tak, že je vhozena do schránky sídla spolku na adrese: </w:t>
      </w:r>
      <w:r w:rsidDel="00000000" w:rsidR="00000000" w:rsidRPr="00000000">
        <w:rPr>
          <w:sz w:val="24"/>
          <w:szCs w:val="24"/>
          <w:rtl w:val="0"/>
        </w:rPr>
        <w:t xml:space="preserve">Kyselovská 41/2, Slavonín - Olomouc 77900 nebo do schránky zázemí denního stacionáře na adrese Hodolanská 611/35, Olomouc nebo zaslána poštou na tyto adresy.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Anonymní stížnost je zaevidována. V jejím případě je výsledek stížnosti zaslán dle instrukcí uvedených v podání stížnosti nebo vyvěšen </w:t>
      </w:r>
      <w:r w:rsidDel="00000000" w:rsidR="00000000" w:rsidRPr="00000000">
        <w:rPr>
          <w:sz w:val="24"/>
          <w:szCs w:val="24"/>
          <w:rtl w:val="0"/>
        </w:rPr>
        <w:t xml:space="preserve">30 dnů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na webových stránkách spolku.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Evidence stížností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Evidenci všech stížností vede </w:t>
      </w:r>
      <w:r w:rsidDel="00000000" w:rsidR="00000000" w:rsidRPr="00000000">
        <w:rPr>
          <w:sz w:val="24"/>
          <w:szCs w:val="24"/>
          <w:rtl w:val="0"/>
        </w:rPr>
        <w:t xml:space="preserve">vedoucí služby a je uložena v uzamykatelné skříni v kanceláři vedoucí služby na adrese Hodolanská 611/35, </w:t>
      </w:r>
      <w:r w:rsidDel="00000000" w:rsidR="00000000" w:rsidRPr="00000000">
        <w:rPr>
          <w:rtl w:val="0"/>
        </w:rPr>
        <w:t xml:space="preserve">779 00 Olomouc - Hodolany</w:t>
      </w:r>
      <w:r w:rsidDel="00000000" w:rsidR="00000000" w:rsidRPr="00000000">
        <w:rPr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Stěžovatel má právo nahlížet do dokumentace, týkající se jeho stížnosti a pořizovat z ní kopie nebo výpisy.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Lhůta pro vyřízení stížností</w:t>
      </w:r>
    </w:p>
    <w:p w:rsidR="00000000" w:rsidDel="00000000" w:rsidP="00000000" w:rsidRDefault="00000000" w:rsidRPr="00000000" w14:paraId="00000030">
      <w:pPr>
        <w:pageBreakBefore w:val="0"/>
        <w:widowControl w:val="0"/>
        <w:tabs>
          <w:tab w:val="left" w:leader="none" w:pos="921"/>
          <w:tab w:val="left" w:leader="none" w:pos="922"/>
        </w:tabs>
        <w:spacing w:after="0" w:line="240" w:lineRule="auto"/>
        <w:ind w:right="226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Stížnost musí být vyřízena v nejkratším možném termínu, nejdéle však 30 </w:t>
      </w:r>
      <w:r w:rsidDel="00000000" w:rsidR="00000000" w:rsidRPr="00000000">
        <w:rPr>
          <w:sz w:val="24"/>
          <w:szCs w:val="24"/>
          <w:rtl w:val="0"/>
        </w:rPr>
        <w:t xml:space="preserve">dnů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ode dne kdy </w:t>
      </w:r>
      <w:r w:rsidDel="00000000" w:rsidR="00000000" w:rsidRPr="00000000">
        <w:rPr>
          <w:sz w:val="24"/>
          <w:szCs w:val="24"/>
          <w:rtl w:val="0"/>
        </w:rPr>
        <w:t xml:space="preserve">byla doručena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. V případě, že je řešení stížnosti delší než 30 dnů, maximálně však 60 dní, musí </w:t>
      </w:r>
      <w:r w:rsidDel="00000000" w:rsidR="00000000" w:rsidRPr="00000000">
        <w:rPr>
          <w:sz w:val="24"/>
          <w:szCs w:val="24"/>
          <w:rtl w:val="0"/>
        </w:rPr>
        <w:t xml:space="preserve">řešitel stížnosti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1">
      <w:pPr>
        <w:pageBreakBefore w:val="0"/>
        <w:widowControl w:val="0"/>
        <w:tabs>
          <w:tab w:val="left" w:leader="none" w:pos="921"/>
          <w:tab w:val="left" w:leader="none" w:pos="922"/>
        </w:tabs>
        <w:spacing w:after="0" w:line="240" w:lineRule="auto"/>
        <w:ind w:right="226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ageBreakBefore w:val="0"/>
        <w:numPr>
          <w:ilvl w:val="0"/>
          <w:numId w:val="6"/>
        </w:numPr>
        <w:spacing w:after="0" w:line="240" w:lineRule="auto"/>
        <w:ind w:left="785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zaznamenat důvody doby řešení stížnosti,</w:t>
      </w:r>
    </w:p>
    <w:p w:rsidR="00000000" w:rsidDel="00000000" w:rsidP="00000000" w:rsidRDefault="00000000" w:rsidRPr="00000000" w14:paraId="00000033">
      <w:pPr>
        <w:pageBreakBefore w:val="0"/>
        <w:numPr>
          <w:ilvl w:val="0"/>
          <w:numId w:val="6"/>
        </w:numPr>
        <w:spacing w:after="0" w:line="240" w:lineRule="auto"/>
        <w:ind w:left="785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informova</w:t>
      </w:r>
      <w:r w:rsidDel="00000000" w:rsidR="00000000" w:rsidRPr="00000000">
        <w:rPr>
          <w:sz w:val="24"/>
          <w:szCs w:val="24"/>
          <w:rtl w:val="0"/>
        </w:rPr>
        <w:t xml:space="preserve">t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stěžovatele o prodloužení lhůty,</w:t>
      </w:r>
    </w:p>
    <w:p w:rsidR="00000000" w:rsidDel="00000000" w:rsidP="00000000" w:rsidRDefault="00000000" w:rsidRPr="00000000" w14:paraId="00000034">
      <w:pPr>
        <w:pageBreakBefore w:val="0"/>
        <w:numPr>
          <w:ilvl w:val="0"/>
          <w:numId w:val="6"/>
        </w:numPr>
        <w:spacing w:after="200" w:line="240" w:lineRule="auto"/>
        <w:ind w:left="785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informovat o situaci</w:t>
      </w:r>
      <w:r w:rsidDel="00000000" w:rsidR="00000000" w:rsidRPr="00000000">
        <w:rPr>
          <w:sz w:val="24"/>
          <w:szCs w:val="24"/>
          <w:rtl w:val="0"/>
        </w:rPr>
        <w:t xml:space="preserve"> nadřízeného pracovníka nebo orgán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Řešení stížnosti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Pověřený pracovník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který stížnost vyřizuje, postupuje takto: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6" w:right="0" w:hanging="283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Zjistí, zda je k řešení stížnosti kompetentní. 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6" w:right="0" w:hanging="283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Projedná stížnost s oběma stranami (tj. se stěžovatelem a osobou, proti které byla stížnost podána). Je možné obsah stížnosti projednat s oběma stranami současně, a to v případě, že toto nepoškodí stěžovatele. V opačném případě projedná stížnost zvláště s každou stranou samostatně. 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6" w:right="0" w:hanging="283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Stížnosti vyřídí operativně bez zbytečných průtahů.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6" w:right="0" w:hanging="283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Klient</w:t>
      </w:r>
      <w:r w:rsidDel="00000000" w:rsidR="00000000" w:rsidRPr="00000000">
        <w:rPr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pracovník i řešitel stížnosti si můžou přizvat další osobu k jednání, pro její vyřešení.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6" w:right="0" w:hanging="283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 nikoho nesmí být v průběhu prověřování vyvíjen žádný nátlak a nikomu nesmí být způsobena újma. 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566" w:right="0" w:hanging="283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Při prošetřování stížnosti jsou vyslechnuty všechny dotčené strany (včetně svědků události) a je jim ponechán prostor pro vyjádření.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Seznámení s výsledkem projednání stížnosti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20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Dle § 99a má poskytovatel sociálních služeb povinnost informovat stěžovatele o tom, jak stížnost vyřídil. Nesouhlasí-li stěžovatel s vyřízením stížnosti nebo nebyla-li stížnost vyřízena v zákonem stanovené lhůtě, může požádat dle § 99b Ministerstvo práce a sociálních věcí o prověření vyřízení stížnosti.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Stížnost je vyřízena prověřením a písemným sdělením stěžovateli, jak byla prošetřena a jaká byla přijata nápravná opatření</w:t>
      </w:r>
      <w:r w:rsidDel="00000000" w:rsidR="00000000" w:rsidRPr="00000000">
        <w:rPr>
          <w:sz w:val="24"/>
          <w:szCs w:val="24"/>
          <w:rtl w:val="0"/>
        </w:rPr>
        <w:t xml:space="preserve">. O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tomto je proveden zápis do formuláře „Seznámení s výsledkem projednání stížnosti“ který provádí</w:t>
      </w:r>
      <w:r w:rsidDel="00000000" w:rsidR="00000000" w:rsidRPr="00000000">
        <w:rPr>
          <w:sz w:val="24"/>
          <w:szCs w:val="24"/>
          <w:rtl w:val="0"/>
        </w:rPr>
        <w:t xml:space="preserve"> řešitel stížnosti.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S obsahem pot</w:t>
      </w:r>
      <w:r w:rsidDel="00000000" w:rsidR="00000000" w:rsidRPr="00000000">
        <w:rPr>
          <w:sz w:val="24"/>
          <w:szCs w:val="24"/>
          <w:rtl w:val="0"/>
        </w:rPr>
        <w:t xml:space="preserve">é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seznámí všechny zúčastněné strany – tj. žadatele a osobu, proti které byla stížnost podána. Řešení stížnosti vždy schvaluje, před jejím odesláním stěžovateli, předsedkyně spolku</w:t>
      </w:r>
      <w:r w:rsidDel="00000000" w:rsidR="00000000" w:rsidRPr="00000000">
        <w:rPr>
          <w:sz w:val="24"/>
          <w:szCs w:val="24"/>
          <w:rtl w:val="0"/>
        </w:rPr>
        <w:t xml:space="preserve"> nebo sněm spolku.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ff9900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 případě, že stěžovatel není spokojen s postupem řešení jeho stížnosti, uvede tento fakt ve formuláři „Seznámení s výsledkem projednání stížnosti“ s odůvodněním jeho stanoviska, jeho stížnost bude řešena jako odvolání a projednána předsedkyní spolku s definitivním závěrem vyřízení stížnosti poskytovatelem služby</w:t>
      </w:r>
      <w:r w:rsidDel="00000000" w:rsidR="00000000" w:rsidRPr="00000000">
        <w:rPr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ageBreakBefore w:val="0"/>
        <w:spacing w:after="20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V případě, že byla zjednána náprava a opakovaná </w:t>
      </w:r>
      <w:r w:rsidDel="00000000" w:rsidR="00000000" w:rsidRPr="00000000">
        <w:rPr>
          <w:sz w:val="24"/>
          <w:szCs w:val="24"/>
          <w:rtl w:val="0"/>
        </w:rPr>
        <w:t xml:space="preserve">stížnost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neobsahuje nové skutečnosti, bude pouze zaevidována s odkazem na původní stížnost a její řešení a dále se stížnost neřeší. Pokud opakovaná stížnost obsahuje nové skutečnosti a zjednaná náprava nebyla dostatečná, stížnost bude znovu zaevidována a projednána. O tomto postupu je osoba, která stížnost podala, informována. </w:t>
      </w:r>
    </w:p>
    <w:p w:rsidR="00000000" w:rsidDel="00000000" w:rsidP="00000000" w:rsidRDefault="00000000" w:rsidRPr="00000000" w14:paraId="00000042">
      <w:pPr>
        <w:pageBreakBefore w:val="0"/>
        <w:spacing w:after="0" w:line="240" w:lineRule="auto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U opakovaných a již rozhodnutých a projednaných stížností se vždy předsedkyně spolku nebo sněm spolku znovu přesvědčí, zda trvá stav zjištěný předchozím šetřením.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ageBreakBefore w:val="0"/>
        <w:spacing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Vyhodnocování stížností související</w:t>
      </w:r>
      <w:r w:rsidDel="00000000" w:rsidR="00000000" w:rsidRPr="00000000">
        <w:rPr>
          <w:sz w:val="24"/>
          <w:szCs w:val="24"/>
          <w:rtl w:val="0"/>
        </w:rPr>
        <w:t xml:space="preserve"> s poskytováním sociální služby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provádí </w:t>
      </w:r>
      <w:r w:rsidDel="00000000" w:rsidR="00000000" w:rsidRPr="00000000">
        <w:rPr>
          <w:sz w:val="24"/>
          <w:szCs w:val="24"/>
          <w:rtl w:val="0"/>
        </w:rPr>
        <w:t xml:space="preserve">vedoucí služby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1x za rok. Výstupy ze stížností jsou součástí rozvoje a zvyšování kvality poskytované sociální služby.</w:t>
      </w:r>
    </w:p>
    <w:p w:rsidR="00000000" w:rsidDel="00000000" w:rsidP="00000000" w:rsidRDefault="00000000" w:rsidRPr="00000000" w14:paraId="00000044">
      <w:pPr>
        <w:widowControl w:val="0"/>
        <w:spacing w:after="0" w:line="240" w:lineRule="auto"/>
        <w:ind w:right="231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Stěžovatel může stížnost podat i u následujících osob či institucí:</w:t>
      </w:r>
    </w:p>
    <w:p w:rsidR="00000000" w:rsidDel="00000000" w:rsidP="00000000" w:rsidRDefault="00000000" w:rsidRPr="00000000" w14:paraId="00000045">
      <w:pPr>
        <w:widowControl w:val="0"/>
        <w:spacing w:after="0" w:line="240" w:lineRule="auto"/>
        <w:ind w:right="231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widowControl w:val="0"/>
        <w:numPr>
          <w:ilvl w:val="0"/>
          <w:numId w:val="8"/>
        </w:numPr>
        <w:tabs>
          <w:tab w:val="left" w:leader="none" w:pos="921"/>
          <w:tab w:val="left" w:leader="none" w:pos="922"/>
        </w:tabs>
        <w:spacing w:after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Sněmu spolku</w:t>
      </w:r>
      <w:r w:rsidDel="00000000" w:rsidR="00000000" w:rsidRPr="00000000">
        <w:rPr>
          <w:sz w:val="24"/>
          <w:szCs w:val="24"/>
          <w:rtl w:val="0"/>
        </w:rPr>
        <w:t xml:space="preserve">, adresa Kyselovská 41/2, Olomouc, 779 00</w:t>
      </w:r>
    </w:p>
    <w:p w:rsidR="00000000" w:rsidDel="00000000" w:rsidP="00000000" w:rsidRDefault="00000000" w:rsidRPr="00000000" w14:paraId="00000047">
      <w:pPr>
        <w:widowControl w:val="0"/>
        <w:numPr>
          <w:ilvl w:val="0"/>
          <w:numId w:val="8"/>
        </w:numPr>
        <w:tabs>
          <w:tab w:val="left" w:leader="none" w:pos="921"/>
          <w:tab w:val="left" w:leader="none" w:pos="922"/>
        </w:tabs>
        <w:spacing w:after="0" w:before="0" w:line="240" w:lineRule="auto"/>
        <w:ind w:left="720" w:right="-136.062992125984" w:hanging="360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Odbor sociálních věcí krajského úřadu Olomouckého kraje</w:t>
      </w:r>
      <w:r w:rsidDel="00000000" w:rsidR="00000000" w:rsidRPr="00000000">
        <w:rPr>
          <w:sz w:val="24"/>
          <w:szCs w:val="24"/>
          <w:rtl w:val="0"/>
        </w:rPr>
        <w:t xml:space="preserve">, Jeremenkova 40a, Olomouc, e-mail: posta@olkraj.cz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widowControl w:val="0"/>
        <w:numPr>
          <w:ilvl w:val="0"/>
          <w:numId w:val="2"/>
        </w:numPr>
        <w:tabs>
          <w:tab w:val="left" w:leader="none" w:pos="921"/>
          <w:tab w:val="left" w:leader="none" w:pos="922"/>
        </w:tabs>
        <w:spacing w:after="0" w:before="0" w:line="240" w:lineRule="auto"/>
        <w:ind w:left="720" w:right="-136.062992125984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Ministerstvo práce a sociálních věcí, Odbor inspekce sociálních služeb</w:t>
      </w:r>
      <w:r w:rsidDel="00000000" w:rsidR="00000000" w:rsidRPr="00000000">
        <w:rPr>
          <w:sz w:val="24"/>
          <w:szCs w:val="24"/>
          <w:rtl w:val="0"/>
        </w:rPr>
        <w:t xml:space="preserve">, </w:t>
      </w:r>
    </w:p>
    <w:p w:rsidR="00000000" w:rsidDel="00000000" w:rsidP="00000000" w:rsidRDefault="00000000" w:rsidRPr="00000000" w14:paraId="00000049">
      <w:pPr>
        <w:widowControl w:val="0"/>
        <w:tabs>
          <w:tab w:val="left" w:leader="none" w:pos="921"/>
          <w:tab w:val="left" w:leader="none" w:pos="922"/>
        </w:tabs>
        <w:spacing w:after="0" w:before="1" w:line="240" w:lineRule="auto"/>
        <w:ind w:left="720" w:right="-136.062992125984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Na Poříčním právu 12801 Praha 2, </w:t>
      </w:r>
      <w:hyperlink r:id="rId7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www.mpsv.cz</w:t>
        </w:r>
      </w:hyperlink>
      <w:r w:rsidDel="00000000" w:rsidR="00000000" w:rsidRPr="00000000">
        <w:rPr>
          <w:sz w:val="24"/>
          <w:szCs w:val="24"/>
          <w:rtl w:val="0"/>
        </w:rPr>
        <w:t xml:space="preserve">, e-mail: </w:t>
      </w:r>
      <w:hyperlink r:id="rId8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posta@mpsv.gov.cz</w:t>
        </w:r>
      </w:hyperlink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A">
      <w:pPr>
        <w:widowControl w:val="0"/>
        <w:numPr>
          <w:ilvl w:val="0"/>
          <w:numId w:val="3"/>
        </w:numPr>
        <w:tabs>
          <w:tab w:val="left" w:leader="none" w:pos="921"/>
          <w:tab w:val="left" w:leader="none" w:pos="922"/>
        </w:tabs>
        <w:spacing w:after="0" w:before="1" w:line="240" w:lineRule="auto"/>
        <w:ind w:left="720" w:right="-136.062992125984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Veřejný ochránce práv a ochránce práv dětí</w:t>
      </w:r>
      <w:r w:rsidDel="00000000" w:rsidR="00000000" w:rsidRPr="00000000">
        <w:rPr>
          <w:sz w:val="24"/>
          <w:szCs w:val="24"/>
          <w:rtl w:val="0"/>
        </w:rPr>
        <w:t xml:space="preserve">, Údolní 39, 602 00 Brno,</w:t>
      </w:r>
    </w:p>
    <w:p w:rsidR="00000000" w:rsidDel="00000000" w:rsidP="00000000" w:rsidRDefault="00000000" w:rsidRPr="00000000" w14:paraId="0000004B">
      <w:pPr>
        <w:widowControl w:val="0"/>
        <w:tabs>
          <w:tab w:val="left" w:leader="none" w:pos="921"/>
          <w:tab w:val="left" w:leader="none" w:pos="922"/>
        </w:tabs>
        <w:spacing w:after="0" w:before="0" w:line="240" w:lineRule="auto"/>
        <w:ind w:left="720" w:right="-136.062992125984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e-mail: </w:t>
      </w:r>
      <w:hyperlink r:id="rId9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podatelna@ochrance.cz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widowControl w:val="0"/>
        <w:numPr>
          <w:ilvl w:val="0"/>
          <w:numId w:val="1"/>
        </w:numPr>
        <w:tabs>
          <w:tab w:val="left" w:leader="none" w:pos="921"/>
          <w:tab w:val="left" w:leader="none" w:pos="922"/>
        </w:tabs>
        <w:spacing w:after="200" w:before="1" w:line="240" w:lineRule="auto"/>
        <w:ind w:left="720" w:right="-136.062992125984" w:hanging="36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Občanská poradna, </w:t>
      </w:r>
      <w:r w:rsidDel="00000000" w:rsidR="00000000" w:rsidRPr="00000000">
        <w:rPr>
          <w:sz w:val="24"/>
          <w:szCs w:val="24"/>
          <w:rtl w:val="0"/>
        </w:rPr>
        <w:t xml:space="preserve">e-mail: </w:t>
      </w:r>
      <w:hyperlink r:id="rId10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poradna@poradna-prava.cz</w:t>
        </w:r>
      </w:hyperlink>
      <w:r w:rsidDel="00000000" w:rsidR="00000000" w:rsidRPr="00000000">
        <w:rPr>
          <w:sz w:val="24"/>
          <w:szCs w:val="24"/>
          <w:rtl w:val="0"/>
        </w:rPr>
        <w:t xml:space="preserve">, </w:t>
      </w:r>
      <w:hyperlink r:id="rId11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www.</w:t>
        </w:r>
      </w:hyperlink>
      <w:hyperlink r:id="rId12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poradna-prava.cz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widowControl w:val="0"/>
        <w:tabs>
          <w:tab w:val="left" w:leader="none" w:pos="921"/>
          <w:tab w:val="left" w:leader="none" w:pos="922"/>
        </w:tabs>
        <w:spacing w:after="200" w:before="1" w:line="240" w:lineRule="auto"/>
        <w:ind w:left="720" w:right="-136.062992125984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widowControl w:val="0"/>
        <w:tabs>
          <w:tab w:val="left" w:leader="none" w:pos="921"/>
          <w:tab w:val="left" w:leader="none" w:pos="922"/>
        </w:tabs>
        <w:spacing w:after="200" w:before="1" w:line="240" w:lineRule="auto"/>
        <w:ind w:left="0" w:right="-136.062992125984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Příloha č. 1: Zápis o převzetí stížnosti</w:t>
      </w:r>
    </w:p>
    <w:p w:rsidR="00000000" w:rsidDel="00000000" w:rsidP="00000000" w:rsidRDefault="00000000" w:rsidRPr="00000000" w14:paraId="0000004F">
      <w:pPr>
        <w:widowControl w:val="0"/>
        <w:tabs>
          <w:tab w:val="left" w:leader="none" w:pos="921"/>
          <w:tab w:val="left" w:leader="none" w:pos="922"/>
        </w:tabs>
        <w:spacing w:after="200" w:before="1" w:line="240" w:lineRule="auto"/>
        <w:ind w:left="0" w:right="-136.062992125984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Příloha č. 2: Seznámení s výsledkem projednání stížnosti</w:t>
      </w:r>
    </w:p>
    <w:p w:rsidR="00000000" w:rsidDel="00000000" w:rsidP="00000000" w:rsidRDefault="00000000" w:rsidRPr="00000000" w14:paraId="00000050">
      <w:pPr>
        <w:widowControl w:val="0"/>
        <w:tabs>
          <w:tab w:val="left" w:leader="none" w:pos="921"/>
          <w:tab w:val="left" w:leader="none" w:pos="922"/>
        </w:tabs>
        <w:spacing w:after="200" w:before="1" w:line="240" w:lineRule="auto"/>
        <w:ind w:left="720" w:right="-136.062992125984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ageBreakBefore w:val="0"/>
        <w:spacing w:after="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ageBreakBefore w:val="0"/>
        <w:spacing w:line="240" w:lineRule="auto"/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Příloha č. 1 – Zápis o převzetí stížnosti</w:t>
      </w:r>
    </w:p>
    <w:p w:rsidR="00000000" w:rsidDel="00000000" w:rsidP="00000000" w:rsidRDefault="00000000" w:rsidRPr="00000000" w14:paraId="00000053">
      <w:pPr>
        <w:pageBreakBefore w:val="0"/>
        <w:spacing w:line="240" w:lineRule="auto"/>
        <w:rPr>
          <w:b w:val="1"/>
          <w:bCs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ageBreakBefore w:val="0"/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Datum stížnosti:</w:t>
      </w:r>
    </w:p>
    <w:p w:rsidR="00000000" w:rsidDel="00000000" w:rsidP="00000000" w:rsidRDefault="00000000" w:rsidRPr="00000000" w14:paraId="00000055">
      <w:pPr>
        <w:pageBreakBefore w:val="0"/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Jméno stěžovatele:</w:t>
      </w:r>
    </w:p>
    <w:p w:rsidR="00000000" w:rsidDel="00000000" w:rsidP="00000000" w:rsidRDefault="00000000" w:rsidRPr="00000000" w14:paraId="00000056">
      <w:pPr>
        <w:pageBreakBefore w:val="0"/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Popis události:</w:t>
      </w:r>
    </w:p>
    <w:p w:rsidR="00000000" w:rsidDel="00000000" w:rsidP="00000000" w:rsidRDefault="00000000" w:rsidRPr="00000000" w14:paraId="00000057">
      <w:pPr>
        <w:pageBreakBefore w:val="0"/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ageBreakBefore w:val="0"/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ageBreakBefore w:val="0"/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ageBreakBefore w:val="0"/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ageBreakBefore w:val="0"/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pageBreakBefore w:val="0"/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pageBreakBefore w:val="0"/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pageBreakBefore w:val="0"/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ageBreakBefore w:val="0"/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pageBreakBefore w:val="0"/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ageBreakBefore w:val="0"/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pageBreakBefore w:val="0"/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Sdělení, komu má být písemné řešení stížnosti předáno:</w:t>
      </w:r>
    </w:p>
    <w:p w:rsidR="00000000" w:rsidDel="00000000" w:rsidP="00000000" w:rsidRDefault="00000000" w:rsidRPr="00000000" w14:paraId="00000063">
      <w:pPr>
        <w:pageBreakBefore w:val="0"/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pageBreakBefore w:val="0"/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Podpis osoby, která stížnost podala:</w:t>
      </w:r>
    </w:p>
    <w:p w:rsidR="00000000" w:rsidDel="00000000" w:rsidP="00000000" w:rsidRDefault="00000000" w:rsidRPr="00000000" w14:paraId="00000065">
      <w:pPr>
        <w:pageBreakBefore w:val="0"/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Jméno a podpis osoby, která stížnost přijala:</w:t>
      </w:r>
    </w:p>
    <w:p w:rsidR="00000000" w:rsidDel="00000000" w:rsidP="00000000" w:rsidRDefault="00000000" w:rsidRPr="00000000" w14:paraId="00000066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Jméno a podpis osoby, která stížnost řeší:</w:t>
      </w:r>
    </w:p>
    <w:p w:rsidR="00000000" w:rsidDel="00000000" w:rsidP="00000000" w:rsidRDefault="00000000" w:rsidRPr="00000000" w14:paraId="00000067">
      <w:pPr>
        <w:pageBreakBefore w:val="0"/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Datum zápisu:</w:t>
      </w:r>
    </w:p>
    <w:p w:rsidR="00000000" w:rsidDel="00000000" w:rsidP="00000000" w:rsidRDefault="00000000" w:rsidRPr="00000000" w14:paraId="00000068">
      <w:pPr>
        <w:pageBreakBefore w:val="0"/>
        <w:spacing w:after="0" w:line="240" w:lineRule="auto"/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br w:type="page"/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Příloha č. 2 - Seznámení s výsledkem projednání stížnosti</w:t>
      </w:r>
    </w:p>
    <w:p w:rsidR="00000000" w:rsidDel="00000000" w:rsidP="00000000" w:rsidRDefault="00000000" w:rsidRPr="00000000" w14:paraId="00000069">
      <w:pPr>
        <w:pageBreakBefore w:val="0"/>
        <w:spacing w:after="0" w:line="240" w:lineRule="auto"/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pageBreakBefore w:val="0"/>
        <w:spacing w:after="0" w:line="240" w:lineRule="auto"/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pageBreakBefore w:val="0"/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Datum přijetí stížnosti: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pageBreakBefore w:val="0"/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Jméno stěžovatele:</w:t>
      </w:r>
    </w:p>
    <w:p w:rsidR="00000000" w:rsidDel="00000000" w:rsidP="00000000" w:rsidRDefault="00000000" w:rsidRPr="00000000" w14:paraId="0000006E">
      <w:pPr>
        <w:pageBreakBefore w:val="0"/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pageBreakBefore w:val="0"/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Jméno osoby, která stížnost přijala:</w:t>
      </w:r>
    </w:p>
    <w:p w:rsidR="00000000" w:rsidDel="00000000" w:rsidP="00000000" w:rsidRDefault="00000000" w:rsidRPr="00000000" w14:paraId="00000070">
      <w:pPr>
        <w:pageBreakBefore w:val="0"/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pageBreakBefore w:val="0"/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Jméno osoby, která řeší stížnost:</w:t>
      </w:r>
    </w:p>
    <w:p w:rsidR="00000000" w:rsidDel="00000000" w:rsidP="00000000" w:rsidRDefault="00000000" w:rsidRPr="00000000" w14:paraId="00000072">
      <w:pPr>
        <w:pageBreakBefore w:val="0"/>
        <w:spacing w:after="0" w:line="240" w:lineRule="auto"/>
        <w:ind w:left="36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pageBreakBefore w:val="0"/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Způsob vyřízení stížností:</w:t>
      </w:r>
    </w:p>
    <w:p w:rsidR="00000000" w:rsidDel="00000000" w:rsidP="00000000" w:rsidRDefault="00000000" w:rsidRPr="00000000" w14:paraId="00000074">
      <w:pPr>
        <w:pageBreakBefore w:val="0"/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pageBreakBefore w:val="0"/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pageBreakBefore w:val="0"/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pageBreakBefore w:val="0"/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pageBreakBefore w:val="0"/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pageBreakBefore w:val="0"/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pageBreakBefore w:val="0"/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pageBreakBefore w:val="0"/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pageBreakBefore w:val="0"/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pageBreakBefore w:val="0"/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pageBreakBefore w:val="0"/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pageBreakBefore w:val="0"/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Výsledek šetření, přijatá nápravná opatření, ke kterým došlo, aby se situace neopakovala: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pageBreakBefore w:val="0"/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pageBreakBefore w:val="0"/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pageBreakBefore w:val="0"/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pageBreakBefore w:val="0"/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pageBreakBefore w:val="0"/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pageBreakBefore w:val="0"/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pageBreakBefore w:val="0"/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Datum vyřízení stížnosti:</w:t>
      </w:r>
    </w:p>
    <w:p w:rsidR="00000000" w:rsidDel="00000000" w:rsidP="00000000" w:rsidRDefault="00000000" w:rsidRPr="00000000" w14:paraId="00000088">
      <w:pPr>
        <w:pageBreakBefore w:val="0"/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pageBreakBefore w:val="0"/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Datum seznámení stěžovatele s výsledkem projednání stížnosti: </w:t>
      </w:r>
    </w:p>
    <w:p w:rsidR="00000000" w:rsidDel="00000000" w:rsidP="00000000" w:rsidRDefault="00000000" w:rsidRPr="00000000" w14:paraId="0000008A">
      <w:pPr>
        <w:pageBreakBefore w:val="0"/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pageBreakBefore w:val="0"/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Podpis stěžovatele a jeho připomínky k řešení stížnosti:</w:t>
      </w:r>
    </w:p>
    <w:p w:rsidR="00000000" w:rsidDel="00000000" w:rsidP="00000000" w:rsidRDefault="00000000" w:rsidRPr="00000000" w14:paraId="0000008C">
      <w:pPr>
        <w:pageBreakBefore w:val="0"/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pageBreakBefore w:val="0"/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pageBreakBefore w:val="0"/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pageBreakBefore w:val="0"/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pageBreakBefore w:val="0"/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pageBreakBefore w:val="0"/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pageBreakBefore w:val="0"/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pageBreakBefore w:val="0"/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88.000000000002" w:type="dxa"/>
        <w:jc w:val="left"/>
        <w:tblLayout w:type="fixed"/>
        <w:tblLook w:val="0000"/>
      </w:tblPr>
      <w:tblGrid>
        <w:gridCol w:w="4096"/>
        <w:gridCol w:w="2096"/>
        <w:gridCol w:w="1032"/>
        <w:gridCol w:w="1032"/>
        <w:gridCol w:w="1032"/>
        <w:tblGridChange w:id="0">
          <w:tblGrid>
            <w:gridCol w:w="4096"/>
            <w:gridCol w:w="2096"/>
            <w:gridCol w:w="1032"/>
            <w:gridCol w:w="1032"/>
            <w:gridCol w:w="1032"/>
          </w:tblGrid>
        </w:tblGridChange>
      </w:tblGrid>
      <w:tr>
        <w:trPr>
          <w:cantSplit w:val="0"/>
          <w:trHeight w:val="305" w:hRule="atLeast"/>
          <w:tblHeader w:val="0"/>
        </w:trPr>
        <w:tc>
          <w:tcPr>
            <w:gridSpan w:val="5"/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94">
            <w:pPr>
              <w:spacing w:after="0" w:line="240" w:lineRule="auto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smallCaps w:val="1"/>
                <w:rtl w:val="0"/>
              </w:rPr>
              <w:t xml:space="preserve">PRAVIDLA PRO PODÁVÁNÍ STÍŽNOSTÍ NA POSKYTOVÁNÍ SOCIÁLNÍ SLUŽBY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99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Zpracovala: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 Bc. Hana Drlíčková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9A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Datum: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1.1.2026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9B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Podpis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9C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9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0" w:val="nil"/>
              <w:right w:color="000000" w:space="0" w:sz="6" w:val="single"/>
            </w:tcBorders>
          </w:tcPr>
          <w:p w:rsidR="00000000" w:rsidDel="00000000" w:rsidP="00000000" w:rsidRDefault="00000000" w:rsidRPr="00000000" w14:paraId="0000009E">
            <w:pPr>
              <w:spacing w:after="0" w:line="240" w:lineRule="auto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Schválil: 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Mgr. Naděžda Škrabalová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</w:tcPr>
          <w:p w:rsidR="00000000" w:rsidDel="00000000" w:rsidP="00000000" w:rsidRDefault="00000000" w:rsidRPr="00000000" w14:paraId="0000009F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Datum: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.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. 202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A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Podpis: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A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12" w:val="single"/>
            </w:tcBorders>
          </w:tcPr>
          <w:p w:rsidR="00000000" w:rsidDel="00000000" w:rsidP="00000000" w:rsidRDefault="00000000" w:rsidRPr="00000000" w14:paraId="000000A2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" w:hRule="atLeast"/>
          <w:tblHeader w:val="0"/>
        </w:trPr>
        <w:tc>
          <w:tcPr>
            <w:gridSpan w:val="5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A3">
            <w:pPr>
              <w:tabs>
                <w:tab w:val="left" w:leader="none" w:pos="3480"/>
                <w:tab w:val="center" w:leader="none" w:pos="4614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Platnost od: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.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. 202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.96875" w:hRule="atLeast"/>
          <w:tblHeader w:val="0"/>
        </w:trPr>
        <w:tc>
          <w:tcPr>
            <w:gridSpan w:val="5"/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A8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Platnost pro: 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všechny zaměstnance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a klienty denního stacionáře ZET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D">
      <w:pPr>
        <w:pageBreakBefore w:val="0"/>
        <w:spacing w:after="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pageBreakBefore w:val="0"/>
        <w:spacing w:after="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pageBreakBefore w:val="0"/>
        <w:spacing w:after="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pageBreakBefore w:val="0"/>
        <w:spacing w:after="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pageBreakBefore w:val="0"/>
        <w:spacing w:after="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pageBreakBefore w:val="0"/>
        <w:spacing w:after="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pageBreakBefore w:val="0"/>
        <w:spacing w:after="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13" w:type="default"/>
      <w:headerReference r:id="rId14" w:type="first"/>
      <w:headerReference r:id="rId15" w:type="even"/>
      <w:footerReference r:id="rId16" w:type="default"/>
      <w:footerReference r:id="rId17" w:type="first"/>
      <w:footerReference r:id="rId18" w:type="even"/>
      <w:pgSz w:h="16838" w:w="11906" w:orient="portrait"/>
      <w:pgMar w:bottom="1417" w:top="1417" w:left="1417" w:right="1133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Cambria"/>
  <w:font w:name="Georgia"/>
  <w:font w:name="Courier New"/>
  <w:font w:name="Tahoma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D"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ffffff" w:val="clear"/>
      <w:spacing w:after="120" w:before="120" w:line="276" w:lineRule="auto"/>
      <w:ind w:left="0" w:right="0" w:firstLine="0"/>
      <w:jc w:val="left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sz w:val="16"/>
        <w:szCs w:val="16"/>
        <w:rtl w:val="0"/>
      </w:rPr>
      <w:t xml:space="preserve">Organizace je zapsána ve spolkovém rejstříku vedeném Krajským soudem v Ostravě oddíl L, vložka 20657.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,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E"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ffffff" w:val="clear"/>
      <w:spacing w:after="0" w:before="0" w:line="276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243f61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Bankovní spojení:</w:t>
      <w:tab/>
      <w:tab/>
      <w:t xml:space="preserve">IČO: 088 02 335</w:t>
      <w:tab/>
      <w:tab/>
      <w:t xml:space="preserve">tel: + 420 722 152 030</w:t>
      <w:tab/>
      <w:tab/>
      <w:t xml:space="preserve">web:</w:t>
    </w:r>
    <w:hyperlink r:id="rId1"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https://www.zet-my.cz/</w:t>
      </w:r>
    </w:hyperlink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2043423002/5500 </w:t>
      <w:tab/>
      <w:tab/>
      <w:t xml:space="preserve">datová schránka y73nnbs </w:t>
      <w:tab/>
      <w:t xml:space="preserve">E-mail: </w:t>
    </w:r>
    <w:hyperlink r:id="rId2"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zet-my@seznam.cz</w:t>
      </w:r>
    </w:hyperlink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ab/>
      <w:tab/>
      <w:t xml:space="preserve">FB: Zet-My</w:t>
    </w:r>
    <w:r w:rsidDel="00000000" w:rsidR="00000000" w:rsidRPr="00000000"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ab/>
      <w:tab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6">
    <w:pPr>
      <w:keepLines w:val="1"/>
      <w:spacing w:after="0" w:line="240" w:lineRule="auto"/>
      <w:ind w:left="7200" w:firstLine="720"/>
      <w:jc w:val="both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19055</wp:posOffset>
          </wp:positionH>
          <wp:positionV relativeFrom="paragraph">
            <wp:posOffset>19055</wp:posOffset>
          </wp:positionV>
          <wp:extent cx="570661" cy="507683"/>
          <wp:effectExtent b="0" l="0" r="0" t="0"/>
          <wp:wrapSquare wrapText="bothSides" distB="114300" distT="11430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0661" cy="507683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B7">
    <w:pPr>
      <w:keepLines w:val="1"/>
      <w:spacing w:after="0" w:line="240" w:lineRule="auto"/>
      <w:ind w:left="7200" w:firstLine="720"/>
      <w:jc w:val="both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8">
    <w:pPr>
      <w:tabs>
        <w:tab w:val="center" w:leader="none" w:pos="4536"/>
        <w:tab w:val="right" w:leader="none" w:pos="10200"/>
      </w:tabs>
      <w:spacing w:after="0" w:line="240" w:lineRule="auto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9">
    <w:pPr>
      <w:tabs>
        <w:tab w:val="center" w:leader="none" w:pos="4536"/>
        <w:tab w:val="right" w:leader="none" w:pos="10200"/>
      </w:tabs>
      <w:spacing w:after="0" w:line="240" w:lineRule="auto"/>
      <w:rPr/>
    </w:pPr>
    <w:r w:rsidDel="00000000" w:rsidR="00000000" w:rsidRPr="00000000">
      <w:rPr>
        <w:sz w:val="20"/>
        <w:szCs w:val="20"/>
        <w:rtl w:val="0"/>
      </w:rPr>
      <w:tab/>
      <w:tab/>
      <w:t xml:space="preserve">Zet-My, z.s.    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•"/>
      <w:lvlJc w:val="left"/>
      <w:pPr>
        <w:ind w:left="709" w:hanging="282.99999999999966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419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139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1859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2579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299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019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4739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5459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•"/>
      <w:lvlJc w:val="left"/>
      <w:pPr>
        <w:ind w:left="991" w:hanging="283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127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47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67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87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007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727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47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67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85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505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225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945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65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85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105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825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545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cs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after="720" w:line="240" w:lineRule="auto"/>
      <w:jc w:val="center"/>
    </w:pPr>
    <w:rPr>
      <w:rFonts w:ascii="Times New Roman" w:cs="Times New Roman" w:eastAsia="Times New Roman" w:hAnsi="Times New Roman"/>
      <w:b w:val="1"/>
      <w:bCs w:val="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rFonts w:ascii="Cambria" w:cs="Cambria" w:eastAsia="Cambria" w:hAnsi="Cambria"/>
      <w:color w:val="243f61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poradna-prava.cz/cz/" TargetMode="External"/><Relationship Id="rId10" Type="http://schemas.openxmlformats.org/officeDocument/2006/relationships/hyperlink" Target="mailto:poradna@poradna-prava.cz" TargetMode="External"/><Relationship Id="rId13" Type="http://schemas.openxmlformats.org/officeDocument/2006/relationships/header" Target="header1.xml"/><Relationship Id="rId12" Type="http://schemas.openxmlformats.org/officeDocument/2006/relationships/hyperlink" Target="https://poradna-prava.cz/cz/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podatelna@ochrance.cz" TargetMode="External"/><Relationship Id="rId15" Type="http://schemas.openxmlformats.org/officeDocument/2006/relationships/header" Target="header3.xml"/><Relationship Id="rId14" Type="http://schemas.openxmlformats.org/officeDocument/2006/relationships/header" Target="header2.xml"/><Relationship Id="rId17" Type="http://schemas.openxmlformats.org/officeDocument/2006/relationships/footer" Target="footer2.xml"/><Relationship Id="rId16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18" Type="http://schemas.openxmlformats.org/officeDocument/2006/relationships/footer" Target="footer3.xml"/><Relationship Id="rId7" Type="http://schemas.openxmlformats.org/officeDocument/2006/relationships/hyperlink" Target="http://www.mpsv.cz" TargetMode="External"/><Relationship Id="rId8" Type="http://schemas.openxmlformats.org/officeDocument/2006/relationships/hyperlink" Target="mailto:posta@mpsv.gov.cz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www.zet-my.cz/" TargetMode="External"/><Relationship Id="rId2" Type="http://schemas.openxmlformats.org/officeDocument/2006/relationships/hyperlink" Target="mailto:zet-my@seznam.cz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OYP++I7aLvOu1ar8MUsH/oXZBA==">CgMxLjA4AHIhMWJ1VkQzUS13MzNMU3F4VGVtcEpNUWttWXBDZ0FfTUNZ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